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tblLayout w:type="fixed"/>
        <w:tblCellMar>
          <w:left w:w="0" w:type="dxa"/>
          <w:right w:w="0" w:type="dxa"/>
        </w:tblCellMar>
        <w:tblLook w:val="04A0" w:firstRow="1" w:lastRow="0" w:firstColumn="1" w:lastColumn="0" w:noHBand="0" w:noVBand="1"/>
      </w:tblPr>
      <w:tblGrid>
        <w:gridCol w:w="9360"/>
      </w:tblGrid>
      <w:tr w:rsidR="00E73825" w14:paraId="28C3C696" w14:textId="77777777">
        <w:trPr>
          <w:tblCellSpacing w:w="0" w:type="dxa"/>
        </w:trPr>
        <w:tc>
          <w:tcPr>
            <w:tcW w:w="9360" w:type="dxa"/>
            <w:vAlign w:val="center"/>
          </w:tcPr>
          <w:p w14:paraId="57851D59" w14:textId="3B93BC1D" w:rsidR="00E73825" w:rsidRDefault="00DC3655" w:rsidP="00E73825">
            <w:pPr>
              <w:pStyle w:val="Heading1"/>
              <w:spacing w:before="0" w:beforeAutospacing="0" w:after="0" w:afterAutospacing="0"/>
              <w:jc w:val="right"/>
              <w:rPr>
                <w:rFonts w:eastAsia="Times New Roman"/>
                <w:sz w:val="28"/>
                <w:szCs w:val="24"/>
              </w:rPr>
            </w:pPr>
            <w:r>
              <w:rPr>
                <w:rFonts w:eastAsia="Times New Roman"/>
                <w:sz w:val="28"/>
                <w:szCs w:val="24"/>
              </w:rPr>
              <w:t xml:space="preserve">CODE </w:t>
            </w:r>
            <w:r w:rsidRPr="00DC3655">
              <w:rPr>
                <w:rFonts w:eastAsia="Times New Roman"/>
                <w:b w:val="0"/>
                <w:bCs w:val="0"/>
                <w:i/>
                <w:iCs/>
                <w:sz w:val="24"/>
                <w:szCs w:val="24"/>
              </w:rPr>
              <w:t>(not for authors )</w:t>
            </w:r>
          </w:p>
        </w:tc>
      </w:tr>
      <w:tr w:rsidR="00E73825" w14:paraId="7BA67484" w14:textId="77777777">
        <w:trPr>
          <w:tblCellSpacing w:w="0" w:type="dxa"/>
        </w:trPr>
        <w:tc>
          <w:tcPr>
            <w:tcW w:w="9360" w:type="dxa"/>
            <w:vAlign w:val="center"/>
          </w:tcPr>
          <w:p w14:paraId="7B5EB72F" w14:textId="77777777" w:rsidR="00E73825" w:rsidRDefault="00E73825">
            <w:pPr>
              <w:pStyle w:val="Heading1"/>
              <w:spacing w:before="0" w:beforeAutospacing="0" w:after="0" w:afterAutospacing="0"/>
              <w:jc w:val="center"/>
              <w:rPr>
                <w:rFonts w:eastAsia="Times New Roman"/>
                <w:sz w:val="28"/>
                <w:szCs w:val="24"/>
              </w:rPr>
            </w:pPr>
          </w:p>
        </w:tc>
      </w:tr>
      <w:tr w:rsidR="00B54A81" w14:paraId="35CA4985" w14:textId="77777777">
        <w:trPr>
          <w:tblCellSpacing w:w="0" w:type="dxa"/>
        </w:trPr>
        <w:tc>
          <w:tcPr>
            <w:tcW w:w="9360" w:type="dxa"/>
            <w:vAlign w:val="center"/>
            <w:hideMark/>
          </w:tcPr>
          <w:p w14:paraId="27EC0D72" w14:textId="77777777" w:rsidR="00B54A81" w:rsidRDefault="000067C4" w:rsidP="00E73825">
            <w:pPr>
              <w:pStyle w:val="Heading1"/>
              <w:spacing w:before="0" w:beforeAutospacing="0"/>
              <w:jc w:val="center"/>
              <w:rPr>
                <w:rFonts w:eastAsia="Times New Roman"/>
                <w:sz w:val="28"/>
                <w:szCs w:val="24"/>
              </w:rPr>
            </w:pPr>
            <w:r>
              <w:rPr>
                <w:rFonts w:eastAsia="Times New Roman"/>
                <w:sz w:val="28"/>
                <w:szCs w:val="24"/>
              </w:rPr>
              <w:t>TRANSIENT TRANSMISSION OF THz METAMATERIALS ANTENNAS EXCITED BY PS LASER PULSES</w:t>
            </w:r>
          </w:p>
          <w:p w14:paraId="25CC9DB1" w14:textId="77777777" w:rsidR="00B54A81" w:rsidRDefault="00B54A81">
            <w:pPr>
              <w:pStyle w:val="Heading1"/>
              <w:spacing w:before="0" w:beforeAutospacing="0" w:after="0" w:afterAutospacing="0"/>
              <w:jc w:val="center"/>
              <w:rPr>
                <w:sz w:val="24"/>
                <w:szCs w:val="24"/>
                <w:lang w:eastAsia="ko-KR"/>
              </w:rPr>
            </w:pPr>
          </w:p>
        </w:tc>
      </w:tr>
      <w:tr w:rsidR="00B54A81" w14:paraId="6E2533BC" w14:textId="77777777">
        <w:trPr>
          <w:tblCellSpacing w:w="0" w:type="dxa"/>
        </w:trPr>
        <w:tc>
          <w:tcPr>
            <w:tcW w:w="9360" w:type="dxa"/>
            <w:vAlign w:val="center"/>
            <w:hideMark/>
          </w:tcPr>
          <w:p w14:paraId="2C735254" w14:textId="7EEC9F8D" w:rsidR="00B54A81" w:rsidRDefault="000067C4">
            <w:pPr>
              <w:jc w:val="center"/>
              <w:rPr>
                <w:rFonts w:eastAsia="Times New Roman"/>
                <w:b/>
                <w:bCs/>
                <w:vertAlign w:val="superscript"/>
              </w:rPr>
            </w:pPr>
            <w:r>
              <w:rPr>
                <w:rFonts w:eastAsia="Times New Roman"/>
                <w:b/>
                <w:bCs/>
                <w:u w:val="single"/>
              </w:rPr>
              <w:t>E</w:t>
            </w:r>
            <w:r>
              <w:rPr>
                <w:rFonts w:hint="eastAsia"/>
                <w:b/>
                <w:bCs/>
                <w:u w:val="single"/>
                <w:lang w:eastAsia="ko-KR"/>
              </w:rPr>
              <w:t>.</w:t>
            </w:r>
            <w:r>
              <w:rPr>
                <w:rFonts w:eastAsia="Times New Roman"/>
                <w:b/>
                <w:bCs/>
                <w:u w:val="single"/>
              </w:rPr>
              <w:t xml:space="preserve"> Janssens</w:t>
            </w:r>
            <w:r>
              <w:rPr>
                <w:rFonts w:eastAsia="Times New Roman"/>
                <w:b/>
                <w:bCs/>
                <w:vertAlign w:val="superscript"/>
              </w:rPr>
              <w:t>1</w:t>
            </w:r>
            <w:r>
              <w:rPr>
                <w:rFonts w:eastAsia="Times New Roman"/>
                <w:b/>
                <w:bCs/>
              </w:rPr>
              <w:t>,</w:t>
            </w:r>
            <w:r>
              <w:rPr>
                <w:rFonts w:eastAsia="Times New Roman"/>
                <w:b/>
                <w:bCs/>
                <w:vertAlign w:val="superscript"/>
              </w:rPr>
              <w:t xml:space="preserve"> </w:t>
            </w:r>
            <w:r>
              <w:rPr>
                <w:rFonts w:eastAsia="Times New Roman"/>
                <w:b/>
                <w:bCs/>
              </w:rPr>
              <w:t>M</w:t>
            </w:r>
            <w:r>
              <w:rPr>
                <w:rFonts w:hint="eastAsia"/>
                <w:b/>
                <w:bCs/>
                <w:lang w:eastAsia="ko-KR"/>
              </w:rPr>
              <w:t>.</w:t>
            </w:r>
            <w:r>
              <w:rPr>
                <w:rFonts w:eastAsia="Times New Roman"/>
                <w:b/>
                <w:bCs/>
              </w:rPr>
              <w:t xml:space="preserve"> Bejide</w:t>
            </w:r>
            <w:r>
              <w:rPr>
                <w:rFonts w:eastAsia="Times New Roman"/>
                <w:b/>
                <w:bCs/>
                <w:vertAlign w:val="superscript"/>
              </w:rPr>
              <w:t>1</w:t>
            </w:r>
            <w:r>
              <w:rPr>
                <w:rFonts w:eastAsia="Times New Roman"/>
                <w:b/>
                <w:bCs/>
              </w:rPr>
              <w:t xml:space="preserve">, </w:t>
            </w:r>
            <w:r w:rsidR="00E73825">
              <w:rPr>
                <w:rFonts w:eastAsia="Times New Roman"/>
                <w:b/>
                <w:bCs/>
              </w:rPr>
              <w:t>V. D. Lam</w:t>
            </w:r>
            <w:r w:rsidR="00E73825" w:rsidRPr="00E73825">
              <w:rPr>
                <w:rFonts w:eastAsia="Times New Roman"/>
                <w:b/>
                <w:bCs/>
                <w:vertAlign w:val="superscript"/>
              </w:rPr>
              <w:t>2,3</w:t>
            </w:r>
            <w:r w:rsidR="00E73825">
              <w:rPr>
                <w:rFonts w:eastAsia="Times New Roman"/>
                <w:b/>
                <w:bCs/>
              </w:rPr>
              <w:t xml:space="preserve">, and </w:t>
            </w:r>
            <w:r>
              <w:rPr>
                <w:rFonts w:eastAsia="Times New Roman"/>
                <w:b/>
                <w:bCs/>
              </w:rPr>
              <w:t>N</w:t>
            </w:r>
            <w:r>
              <w:rPr>
                <w:rFonts w:hint="eastAsia"/>
                <w:b/>
                <w:bCs/>
                <w:lang w:eastAsia="ko-KR"/>
              </w:rPr>
              <w:t>.</w:t>
            </w:r>
            <w:r>
              <w:rPr>
                <w:rFonts w:eastAsia="Times New Roman"/>
                <w:b/>
                <w:bCs/>
              </w:rPr>
              <w:t xml:space="preserve"> T</w:t>
            </w:r>
            <w:r>
              <w:rPr>
                <w:rFonts w:hint="eastAsia"/>
                <w:b/>
                <w:bCs/>
                <w:lang w:eastAsia="ko-KR"/>
              </w:rPr>
              <w:t>.</w:t>
            </w:r>
            <w:r>
              <w:rPr>
                <w:rFonts w:eastAsia="Times New Roman"/>
                <w:b/>
                <w:bCs/>
              </w:rPr>
              <w:t xml:space="preserve"> Tung</w:t>
            </w:r>
            <w:r>
              <w:rPr>
                <w:rFonts w:eastAsia="Times New Roman"/>
                <w:b/>
                <w:bCs/>
                <w:vertAlign w:val="superscript"/>
              </w:rPr>
              <w:t>2,3</w:t>
            </w:r>
          </w:p>
          <w:p w14:paraId="5F2A2047" w14:textId="77777777" w:rsidR="00B54A81" w:rsidRDefault="00B54A81">
            <w:pPr>
              <w:jc w:val="center"/>
              <w:rPr>
                <w:rFonts w:eastAsia="Times New Roman"/>
              </w:rPr>
            </w:pPr>
          </w:p>
        </w:tc>
      </w:tr>
      <w:tr w:rsidR="00B54A81" w14:paraId="426C45B3" w14:textId="77777777">
        <w:trPr>
          <w:tblCellSpacing w:w="0" w:type="dxa"/>
        </w:trPr>
        <w:tc>
          <w:tcPr>
            <w:tcW w:w="9360" w:type="dxa"/>
            <w:vAlign w:val="center"/>
            <w:hideMark/>
          </w:tcPr>
          <w:p w14:paraId="243E9B60" w14:textId="77777777" w:rsidR="00B54A81" w:rsidRDefault="000067C4">
            <w:pPr>
              <w:jc w:val="center"/>
              <w:rPr>
                <w:rFonts w:eastAsia="Times New Roman"/>
                <w:i/>
              </w:rPr>
            </w:pPr>
            <w:r>
              <w:rPr>
                <w:rFonts w:eastAsia="Times New Roman"/>
                <w:i/>
                <w:vertAlign w:val="superscript"/>
              </w:rPr>
              <w:t>1</w:t>
            </w:r>
            <w:r>
              <w:rPr>
                <w:rFonts w:eastAsia="Times New Roman"/>
                <w:i/>
              </w:rPr>
              <w:t>KU Leuven, Quantum Solid-State Physics, Department of Physics and Astronomy, Leuven, Belgium</w:t>
            </w:r>
          </w:p>
          <w:p w14:paraId="10DB70E5" w14:textId="77777777" w:rsidR="00B54A81" w:rsidRDefault="000067C4">
            <w:pPr>
              <w:jc w:val="center"/>
              <w:rPr>
                <w:rFonts w:eastAsia="Times New Roman"/>
                <w:i/>
              </w:rPr>
            </w:pPr>
            <w:r>
              <w:rPr>
                <w:rFonts w:eastAsia="Times New Roman"/>
                <w:i/>
                <w:vertAlign w:val="superscript"/>
              </w:rPr>
              <w:t>2</w:t>
            </w:r>
            <w:r>
              <w:rPr>
                <w:rFonts w:eastAsia="Times New Roman"/>
                <w:i/>
              </w:rPr>
              <w:t>Institute of Materials Science, Vietnam Academy of Science and Technology, Hanoi, Vietnam</w:t>
            </w:r>
          </w:p>
          <w:p w14:paraId="4D86AB73" w14:textId="77777777" w:rsidR="00B54A81" w:rsidRDefault="000067C4">
            <w:pPr>
              <w:jc w:val="center"/>
              <w:rPr>
                <w:rFonts w:eastAsia="Times New Roman"/>
                <w:i/>
              </w:rPr>
            </w:pPr>
            <w:r>
              <w:rPr>
                <w:rFonts w:eastAsia="Times New Roman"/>
                <w:i/>
                <w:vertAlign w:val="superscript"/>
              </w:rPr>
              <w:t>3</w:t>
            </w:r>
            <w:r>
              <w:rPr>
                <w:rFonts w:eastAsia="Times New Roman"/>
                <w:i/>
              </w:rPr>
              <w:t>Graduate University of Science and Technology, Hanoi, Vietnam</w:t>
            </w:r>
          </w:p>
        </w:tc>
      </w:tr>
      <w:tr w:rsidR="00B54A81" w14:paraId="6E3AD1FF" w14:textId="77777777">
        <w:trPr>
          <w:tblCellSpacing w:w="0" w:type="dxa"/>
        </w:trPr>
        <w:tc>
          <w:tcPr>
            <w:tcW w:w="9360" w:type="dxa"/>
            <w:vAlign w:val="center"/>
            <w:hideMark/>
          </w:tcPr>
          <w:p w14:paraId="4EBAC595" w14:textId="77777777" w:rsidR="00B54A81" w:rsidRDefault="000067C4">
            <w:pPr>
              <w:jc w:val="center"/>
              <w:rPr>
                <w:rFonts w:eastAsia="Times New Roman"/>
                <w:i/>
              </w:rPr>
            </w:pPr>
            <w:r>
              <w:rPr>
                <w:rFonts w:eastAsia="Times New Roman"/>
                <w:i/>
              </w:rPr>
              <w:t>Email: ewald.janssens@kuleuven.be</w:t>
            </w:r>
          </w:p>
        </w:tc>
      </w:tr>
      <w:tr w:rsidR="00B54A81" w14:paraId="7DD6A5D1" w14:textId="77777777">
        <w:trPr>
          <w:tblCellSpacing w:w="0" w:type="dxa"/>
        </w:trPr>
        <w:tc>
          <w:tcPr>
            <w:tcW w:w="9360" w:type="dxa"/>
            <w:vAlign w:val="center"/>
            <w:hideMark/>
          </w:tcPr>
          <w:p w14:paraId="619720EA" w14:textId="77777777" w:rsidR="00B54A81" w:rsidRDefault="000067C4">
            <w:pPr>
              <w:pStyle w:val="NormalWeb"/>
              <w:spacing w:before="0" w:beforeAutospacing="0" w:after="0" w:afterAutospacing="0"/>
              <w:jc w:val="center"/>
            </w:pPr>
            <w:r>
              <w:t> </w:t>
            </w:r>
          </w:p>
        </w:tc>
      </w:tr>
      <w:tr w:rsidR="00B54A81" w14:paraId="6FB5AF0A" w14:textId="77777777">
        <w:trPr>
          <w:tblCellSpacing w:w="0" w:type="dxa"/>
        </w:trPr>
        <w:tc>
          <w:tcPr>
            <w:tcW w:w="9360" w:type="dxa"/>
            <w:vAlign w:val="center"/>
            <w:hideMark/>
          </w:tcPr>
          <w:p w14:paraId="2EA449F3" w14:textId="77777777" w:rsidR="00B54A81" w:rsidRDefault="000067C4">
            <w:pPr>
              <w:jc w:val="center"/>
              <w:rPr>
                <w:rFonts w:eastAsia="Times New Roman"/>
                <w:b/>
              </w:rPr>
            </w:pPr>
            <w:r>
              <w:rPr>
                <w:rFonts w:eastAsia="Times New Roman"/>
                <w:b/>
              </w:rPr>
              <w:t>ABSTRACT</w:t>
            </w:r>
          </w:p>
        </w:tc>
      </w:tr>
      <w:tr w:rsidR="00B54A81" w14:paraId="7CB4A9A0" w14:textId="77777777">
        <w:trPr>
          <w:tblCellSpacing w:w="0" w:type="dxa"/>
        </w:trPr>
        <w:tc>
          <w:tcPr>
            <w:tcW w:w="9360" w:type="dxa"/>
            <w:vAlign w:val="center"/>
            <w:hideMark/>
          </w:tcPr>
          <w:p w14:paraId="28090294" w14:textId="77777777" w:rsidR="00B54A81" w:rsidRDefault="000067C4">
            <w:pPr>
              <w:pStyle w:val="NormalWeb"/>
              <w:spacing w:before="0" w:beforeAutospacing="0" w:after="0" w:afterAutospacing="0"/>
              <w:jc w:val="center"/>
            </w:pPr>
            <w:r>
              <w:t> </w:t>
            </w:r>
          </w:p>
        </w:tc>
      </w:tr>
      <w:tr w:rsidR="00B54A81" w14:paraId="080003D9" w14:textId="77777777">
        <w:trPr>
          <w:tblCellSpacing w:w="0" w:type="dxa"/>
        </w:trPr>
        <w:tc>
          <w:tcPr>
            <w:tcW w:w="9360" w:type="dxa"/>
            <w:vAlign w:val="center"/>
            <w:hideMark/>
          </w:tcPr>
          <w:p w14:paraId="39DC525E" w14:textId="275D2996" w:rsidR="00B54A81" w:rsidRDefault="000067C4">
            <w:pPr>
              <w:pStyle w:val="NormalWeb"/>
              <w:spacing w:before="0" w:beforeAutospacing="0" w:after="0" w:afterAutospacing="0"/>
              <w:jc w:val="both"/>
            </w:pPr>
            <w:r>
              <w:t>The picosecond dynamics of excited charge carriers in the silicon substrate of THz metamaterial antennas was studied by time-resolved THz pump-THz probe spectroscopy using light from a tunable free electron laser in the 9.3–16.7 THz frequency range and fluences of 2–12 J/m2. Depending on the excitation wavelength with respect to the resonance center, transient transmission increase, decrease, or a combination of both was observed. The dependence of the transient response on the dopant type and concentration of the silicon substrate, the substrate temperature, and the coupling between neighboring antennas, was explored. Electromagnetic simulations in combination with an analytical impact ionization model provide an interpretation for the experimental results. The transient transmission changes can be explained by local electric field enhancement, which induces impact ionization in the silicon substrate, increasing the local number of charge carriers by several orders of magnitude, and their subsequent diffusion and recombination dynamics</w:t>
            </w:r>
            <w:r w:rsidR="00E73825">
              <w:t xml:space="preserve"> (Fig. 1)</w:t>
            </w:r>
            <w:r>
              <w:t>. The studied metamaterials can be integrated with common semiconductor devices and can potentially be used in sensing applications and THz energy harvesting.</w:t>
            </w:r>
          </w:p>
          <w:p w14:paraId="5450A1B6" w14:textId="56B1DBE2" w:rsidR="00B54A81" w:rsidRDefault="000067C4">
            <w:pPr>
              <w:pStyle w:val="NormalWeb"/>
              <w:spacing w:before="0" w:beforeAutospacing="0" w:after="0" w:afterAutospacing="0"/>
              <w:jc w:val="center"/>
            </w:pPr>
            <w:r>
              <w:rPr>
                <w:noProof/>
                <w:lang w:eastAsia="en-US"/>
              </w:rPr>
              <w:drawing>
                <wp:inline distT="0" distB="0" distL="0" distR="0" wp14:anchorId="3A37428B" wp14:editId="0F0FB245">
                  <wp:extent cx="2533650" cy="195897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Bejide_lar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42561" cy="1965867"/>
                          </a:xfrm>
                          <a:prstGeom prst="rect">
                            <a:avLst/>
                          </a:prstGeom>
                        </pic:spPr>
                      </pic:pic>
                    </a:graphicData>
                  </a:graphic>
                </wp:inline>
              </w:drawing>
            </w:r>
          </w:p>
          <w:p w14:paraId="004D4A17" w14:textId="788A1F83" w:rsidR="00E73825" w:rsidRPr="00E73825" w:rsidRDefault="00E73825">
            <w:pPr>
              <w:pStyle w:val="NormalWeb"/>
              <w:spacing w:before="0" w:beforeAutospacing="0" w:after="0" w:afterAutospacing="0"/>
              <w:jc w:val="center"/>
              <w:rPr>
                <w:i/>
                <w:iCs/>
              </w:rPr>
            </w:pPr>
            <w:r w:rsidRPr="00E73825">
              <w:rPr>
                <w:b/>
                <w:bCs/>
                <w:i/>
                <w:iCs/>
              </w:rPr>
              <w:t>Figure 1</w:t>
            </w:r>
            <w:r w:rsidRPr="00E73825">
              <w:rPr>
                <w:i/>
                <w:iCs/>
              </w:rPr>
              <w:t>. Transient transmission of metamaterial antennas after THz excitations</w:t>
            </w:r>
            <w:r>
              <w:rPr>
                <w:i/>
                <w:iCs/>
              </w:rPr>
              <w:t xml:space="preserve"> </w:t>
            </w:r>
            <w:r w:rsidRPr="00E73825">
              <w:rPr>
                <w:i/>
                <w:iCs/>
              </w:rPr>
              <w:t>can be explained by local electric field enhancement, which induces impact ionization in the silicon substrate.</w:t>
            </w:r>
          </w:p>
          <w:p w14:paraId="27F17176" w14:textId="7DC05AA8" w:rsidR="002E3282" w:rsidRPr="002E3282" w:rsidRDefault="002E3282" w:rsidP="002E3282">
            <w:pPr>
              <w:pStyle w:val="NormalWeb"/>
              <w:jc w:val="both"/>
              <w:rPr>
                <w:lang w:eastAsia="ko-KR"/>
              </w:rPr>
            </w:pPr>
            <w:r w:rsidRPr="002E3282">
              <w:rPr>
                <w:b/>
                <w:bCs/>
                <w:lang w:eastAsia="ko-KR"/>
              </w:rPr>
              <w:t>Acknowledgement</w:t>
            </w:r>
            <w:r w:rsidRPr="002E3282">
              <w:rPr>
                <w:lang w:eastAsia="ko-KR"/>
              </w:rPr>
              <w:t xml:space="preserve">: This work is supported by Fonds Wetenschappelijk Onderzoek (FWO) under the grant number G0E62.18N and Vietnam National Foundation for Science and Technology </w:t>
            </w:r>
            <w:r>
              <w:rPr>
                <w:lang w:eastAsia="ko-KR"/>
              </w:rPr>
              <w:t xml:space="preserve">Development </w:t>
            </w:r>
            <w:r w:rsidRPr="002E3282">
              <w:rPr>
                <w:lang w:eastAsia="ko-KR"/>
              </w:rPr>
              <w:t>(NAFOSTED) under the grant number FWO.</w:t>
            </w:r>
            <w:r>
              <w:rPr>
                <w:lang w:eastAsia="ko-KR"/>
              </w:rPr>
              <w:t>103.</w:t>
            </w:r>
            <w:r w:rsidRPr="002E3282">
              <w:rPr>
                <w:lang w:eastAsia="ko-KR"/>
              </w:rPr>
              <w:t>2017.01.</w:t>
            </w:r>
          </w:p>
          <w:p w14:paraId="462B58F2" w14:textId="77777777" w:rsidR="00B54A81" w:rsidRDefault="000067C4">
            <w:pPr>
              <w:pStyle w:val="NormalWeb"/>
              <w:spacing w:before="0" w:beforeAutospacing="0" w:after="0" w:afterAutospacing="0"/>
              <w:jc w:val="both"/>
              <w:rPr>
                <w:lang w:eastAsia="ko-KR"/>
              </w:rPr>
            </w:pPr>
            <w:r>
              <w:rPr>
                <w:sz w:val="20"/>
                <w:szCs w:val="20"/>
              </w:rPr>
              <w:t xml:space="preserve">[1] M. Bejide </w:t>
            </w:r>
            <w:r>
              <w:rPr>
                <w:i/>
                <w:sz w:val="20"/>
                <w:szCs w:val="20"/>
              </w:rPr>
              <w:t>et al., Optics Express</w:t>
            </w:r>
            <w:r>
              <w:rPr>
                <w:sz w:val="20"/>
                <w:szCs w:val="20"/>
              </w:rPr>
              <w:t xml:space="preserve"> </w:t>
            </w:r>
            <w:r>
              <w:rPr>
                <w:b/>
                <w:sz w:val="20"/>
                <w:szCs w:val="20"/>
              </w:rPr>
              <w:t>2021</w:t>
            </w:r>
            <w:r>
              <w:rPr>
                <w:rFonts w:hint="eastAsia"/>
                <w:sz w:val="20"/>
                <w:szCs w:val="20"/>
                <w:lang w:eastAsia="ko-KR"/>
              </w:rPr>
              <w:t xml:space="preserve">, </w:t>
            </w:r>
            <w:r>
              <w:rPr>
                <w:sz w:val="20"/>
                <w:szCs w:val="20"/>
              </w:rPr>
              <w:t>29, 170-181</w:t>
            </w:r>
            <w:r>
              <w:rPr>
                <w:rFonts w:hint="eastAsia"/>
                <w:sz w:val="20"/>
                <w:szCs w:val="20"/>
                <w:lang w:eastAsia="ko-KR"/>
              </w:rPr>
              <w:t>.</w:t>
            </w:r>
          </w:p>
        </w:tc>
      </w:tr>
    </w:tbl>
    <w:p w14:paraId="03A05DB3" w14:textId="77777777" w:rsidR="00B54A81" w:rsidRDefault="00B54A81">
      <w:pPr>
        <w:rPr>
          <w:rFonts w:eastAsia="Times New Roman"/>
        </w:rPr>
      </w:pPr>
    </w:p>
    <w:sectPr w:rsidR="00B54A81">
      <w:pgSz w:w="11907" w:h="16840"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useFELayout/>
    <w:compatSetting w:name="compatibilityMode" w:uri="http://schemas.microsoft.com/office/word" w:val="14"/>
    <w:compatSetting w:name="useWord2013TrackBottomHyphenation" w:uri="http://schemas.microsoft.com/office/word" w:val="1"/>
  </w:compat>
  <w:rsids>
    <w:rsidRoot w:val="00B54A81"/>
    <w:rsid w:val="000067C4"/>
    <w:rsid w:val="002E3282"/>
    <w:rsid w:val="00775873"/>
    <w:rsid w:val="007D0080"/>
    <w:rsid w:val="008430FA"/>
    <w:rsid w:val="008976C0"/>
    <w:rsid w:val="00B54A81"/>
    <w:rsid w:val="00DC3655"/>
    <w:rsid w:val="00E738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F5E0B"/>
  <w15:docId w15:val="{019E5E01-89D7-4058-ADB1-A2644A1C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NgocDiep</dc:creator>
  <cp:keywords/>
  <dc:description/>
  <cp:lastModifiedBy>Tung Nguyen</cp:lastModifiedBy>
  <cp:revision>14</cp:revision>
  <dcterms:created xsi:type="dcterms:W3CDTF">2021-05-21T10:04:00Z</dcterms:created>
  <dcterms:modified xsi:type="dcterms:W3CDTF">2024-01-15T06:55:00Z</dcterms:modified>
</cp:coreProperties>
</file>